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06F" w:rsidRDefault="0001706F" w:rsidP="0001706F">
      <w:pPr>
        <w:spacing w:line="480" w:lineRule="auto"/>
        <w:rPr>
          <w:b/>
        </w:rPr>
      </w:pPr>
    </w:p>
    <w:p w:rsidR="0001706F" w:rsidRDefault="0001706F" w:rsidP="0001706F">
      <w:pPr>
        <w:spacing w:line="480" w:lineRule="auto"/>
        <w:jc w:val="center"/>
        <w:rPr>
          <w:b/>
        </w:rPr>
      </w:pPr>
      <w:r w:rsidRPr="0001706F">
        <w:rPr>
          <w:b/>
        </w:rPr>
        <w:t>Case Study</w:t>
      </w:r>
    </w:p>
    <w:p w:rsidR="0001706F" w:rsidRDefault="0001706F" w:rsidP="0001706F">
      <w:pPr>
        <w:spacing w:line="480" w:lineRule="auto"/>
        <w:rPr>
          <w:b/>
        </w:rPr>
      </w:pPr>
    </w:p>
    <w:p w:rsidR="003C3242" w:rsidRDefault="003C3242" w:rsidP="0001706F">
      <w:pPr>
        <w:spacing w:line="480" w:lineRule="auto"/>
        <w:rPr>
          <w:b/>
        </w:rPr>
      </w:pPr>
    </w:p>
    <w:p w:rsidR="0001706F" w:rsidRPr="0001706F" w:rsidRDefault="0001706F" w:rsidP="0001706F">
      <w:pPr>
        <w:spacing w:line="480" w:lineRule="auto"/>
        <w:jc w:val="center"/>
        <w:rPr>
          <w:b/>
        </w:rPr>
      </w:pPr>
    </w:p>
    <w:p w:rsidR="0001706F" w:rsidRPr="0001706F" w:rsidRDefault="0001706F" w:rsidP="0001706F">
      <w:pPr>
        <w:tabs>
          <w:tab w:val="left" w:pos="3750"/>
          <w:tab w:val="center" w:pos="4680"/>
        </w:tabs>
        <w:spacing w:line="480" w:lineRule="auto"/>
      </w:pPr>
      <w:r>
        <w:tab/>
      </w:r>
      <w:r w:rsidRPr="0001706F">
        <w:t>Student’s Name</w:t>
      </w:r>
    </w:p>
    <w:p w:rsidR="0001706F" w:rsidRPr="0001706F" w:rsidRDefault="0001706F" w:rsidP="0001706F">
      <w:pPr>
        <w:spacing w:line="480" w:lineRule="auto"/>
        <w:jc w:val="center"/>
      </w:pPr>
      <w:r w:rsidRPr="0001706F">
        <w:t>Institution of Affiliation</w:t>
      </w:r>
    </w:p>
    <w:p w:rsidR="0001706F" w:rsidRPr="0001706F" w:rsidRDefault="0001706F" w:rsidP="0001706F">
      <w:pPr>
        <w:spacing w:line="480" w:lineRule="auto"/>
        <w:jc w:val="center"/>
      </w:pPr>
      <w:r w:rsidRPr="0001706F">
        <w:t>Course Code and Name</w:t>
      </w:r>
    </w:p>
    <w:p w:rsidR="0001706F" w:rsidRPr="0001706F" w:rsidRDefault="0001706F" w:rsidP="0001706F">
      <w:pPr>
        <w:spacing w:line="480" w:lineRule="auto"/>
        <w:jc w:val="center"/>
      </w:pPr>
      <w:r w:rsidRPr="0001706F">
        <w:t>Professor</w:t>
      </w:r>
    </w:p>
    <w:p w:rsidR="0001706F" w:rsidRPr="0001706F" w:rsidRDefault="0001706F" w:rsidP="0001706F">
      <w:pPr>
        <w:spacing w:line="480" w:lineRule="auto"/>
        <w:jc w:val="center"/>
      </w:pPr>
      <w:r w:rsidRPr="0001706F">
        <w:t>Date</w:t>
      </w:r>
    </w:p>
    <w:p w:rsidR="0001706F" w:rsidRDefault="0001706F">
      <w:r>
        <w:br w:type="page"/>
      </w:r>
    </w:p>
    <w:p w:rsidR="00257AE3" w:rsidRPr="003C3242" w:rsidRDefault="006E7960" w:rsidP="003C3242">
      <w:pPr>
        <w:spacing w:line="480" w:lineRule="auto"/>
        <w:jc w:val="center"/>
        <w:rPr>
          <w:b/>
        </w:rPr>
      </w:pPr>
      <w:r w:rsidRPr="003C3242">
        <w:rPr>
          <w:b/>
        </w:rPr>
        <w:lastRenderedPageBreak/>
        <w:t>Case Study</w:t>
      </w:r>
    </w:p>
    <w:p w:rsidR="006E7960" w:rsidRPr="0001706F" w:rsidRDefault="006E7960" w:rsidP="0001706F">
      <w:pPr>
        <w:spacing w:line="480" w:lineRule="auto"/>
        <w:ind w:firstLine="720"/>
      </w:pPr>
      <w:r w:rsidRPr="0001706F">
        <w:t xml:space="preserve">The additional information that I should obtain from the patient about the pain they are experiencing includes the intensity of the pain, the exacerbating and relieving factors, the radiation of the pain, the character of the pain, that is, whether sharp stubbing pain or dull pain, and any other associated symptoms. </w:t>
      </w:r>
    </w:p>
    <w:p w:rsidR="006E7960" w:rsidRPr="0001706F" w:rsidRDefault="006E7960" w:rsidP="0001706F">
      <w:pPr>
        <w:spacing w:line="480" w:lineRule="auto"/>
        <w:ind w:firstLine="720"/>
      </w:pPr>
      <w:r w:rsidRPr="0001706F">
        <w:t>In physical assessment of the patient, a comprehensive physical examination is indicated in this patient followed by a comprehensive focused cardiovascular examination. A comprehensive physical examination has been shown to elicit the correct diagnosis in 80% of eh patients and in helping to avoid unnecessary tests in another 90% of the cases (</w:t>
      </w:r>
      <w:r w:rsidR="0023465E">
        <w:t>Glynn &amp; Drake, 2012</w:t>
      </w:r>
      <w:r w:rsidRPr="0001706F">
        <w:t>), hence a key principle in the management of all patients (</w:t>
      </w:r>
      <w:r w:rsidR="0023465E">
        <w:t>Glynn &amp; Drake, 2012)</w:t>
      </w:r>
      <w:r w:rsidRPr="0001706F">
        <w:t>. The focused cardiovascular examination should place emphasis on the workings of the heart including looking for any abnormal heart sounds and feel on palpation to correctly identify any cardiac abnormalities or dysfunctions.</w:t>
      </w:r>
    </w:p>
    <w:p w:rsidR="006E7960" w:rsidRPr="0001706F" w:rsidRDefault="006E7960" w:rsidP="0001706F">
      <w:pPr>
        <w:spacing w:line="480" w:lineRule="auto"/>
        <w:ind w:firstLine="720"/>
      </w:pPr>
      <w:r w:rsidRPr="0001706F">
        <w:t>The C- reactive protein is a marker of acute inflammation. The key considerations that are important to remember if  C-reactive protein is elevated in this patient is the observation that patient without biochemical evidence of myocardial necrosis but with elevated C- reactive protein are at increased risk of a subsequent ischemic event</w:t>
      </w:r>
      <w:r w:rsidR="003C3242">
        <w:t xml:space="preserve"> </w:t>
      </w:r>
      <w:r w:rsidR="003C3242" w:rsidRPr="0001706F">
        <w:t>(</w:t>
      </w:r>
      <w:r w:rsidR="003C3242">
        <w:t xml:space="preserve">Brewer et al., </w:t>
      </w:r>
      <w:r w:rsidR="003C3242" w:rsidRPr="0001706F">
        <w:t>2015)</w:t>
      </w:r>
      <w:r w:rsidRPr="0001706F">
        <w:t>. Therefore, it would be imperative that prophylactic management of ischemic attack be initiated in these patients to avoid any subsequent ischemic attacks that might ensue.</w:t>
      </w:r>
    </w:p>
    <w:p w:rsidR="006E7960" w:rsidRPr="0001706F" w:rsidRDefault="006E7960" w:rsidP="0001706F">
      <w:pPr>
        <w:spacing w:line="480" w:lineRule="auto"/>
        <w:ind w:firstLine="720"/>
      </w:pPr>
      <w:r w:rsidRPr="0001706F">
        <w:t>The differential diagnoses that should be considered for this patient include coronary artery atherosclerosis</w:t>
      </w:r>
      <w:r w:rsidR="001C4C18" w:rsidRPr="0001706F">
        <w:t xml:space="preserve"> or vasospasm</w:t>
      </w:r>
      <w:r w:rsidRPr="0001706F">
        <w:t xml:space="preserve">, acute pericarditis, angina pectoris, </w:t>
      </w:r>
      <w:r w:rsidR="001C4C18" w:rsidRPr="0001706F">
        <w:t xml:space="preserve">atherosclerosis, dilated </w:t>
      </w:r>
      <w:proofErr w:type="gramStart"/>
      <w:r w:rsidR="001C4C18" w:rsidRPr="0001706F">
        <w:lastRenderedPageBreak/>
        <w:t>cardio</w:t>
      </w:r>
      <w:bookmarkStart w:id="0" w:name="_GoBack"/>
      <w:bookmarkEnd w:id="0"/>
      <w:r w:rsidR="001C4C18" w:rsidRPr="0001706F">
        <w:t>myopathy, myocardial ischemia, myocarditis, isolated coronary artery anomalies, and hypercholesterolemia (</w:t>
      </w:r>
      <w:r w:rsidR="003C3242">
        <w:t xml:space="preserve">Brewer et al., </w:t>
      </w:r>
      <w:r w:rsidR="00954BD3" w:rsidRPr="0001706F">
        <w:t>2015</w:t>
      </w:r>
      <w:r w:rsidR="001C4C18" w:rsidRPr="0001706F">
        <w:t>).</w:t>
      </w:r>
      <w:proofErr w:type="gramEnd"/>
    </w:p>
    <w:p w:rsidR="001C4C18" w:rsidRPr="0001706F" w:rsidRDefault="001C4C18" w:rsidP="0001706F">
      <w:pPr>
        <w:spacing w:line="480" w:lineRule="auto"/>
        <w:ind w:firstLine="720"/>
      </w:pPr>
      <w:r w:rsidRPr="0001706F">
        <w:t>The patient teachings that will be incorporated into the visit to modify the patient’s risk factors include the importance of adhering to a strict balanced diet that is low on sodium and especially the saturated fats. The diet should also include adequate fruits and vegetables and unsaturated and omega fatty acids. Patient education on diet should also emphasize on the correct portion of components in a meal that can easily help the patient in regulating their weight. The patient should be advised to engage in regular exercises to help in regulating their body weight and to keep a close eye on monitoring their Body Mass Index (BMI) to ensure that they fall within the normal ranges of BMI that are 18.5 to &lt;25 (</w:t>
      </w:r>
      <w:r w:rsidR="00954BD3" w:rsidRPr="0001706F">
        <w:t xml:space="preserve">Brewer, </w:t>
      </w:r>
      <w:proofErr w:type="spellStart"/>
      <w:r w:rsidR="00954BD3" w:rsidRPr="0001706F">
        <w:t>Svatikova</w:t>
      </w:r>
      <w:proofErr w:type="spellEnd"/>
      <w:r w:rsidR="00954BD3" w:rsidRPr="0001706F">
        <w:t xml:space="preserve">, &amp; </w:t>
      </w:r>
      <w:proofErr w:type="spellStart"/>
      <w:r w:rsidR="00954BD3" w:rsidRPr="0001706F">
        <w:t>Mulvagh</w:t>
      </w:r>
      <w:proofErr w:type="spellEnd"/>
      <w:r w:rsidR="00954BD3" w:rsidRPr="0001706F">
        <w:t>, 2015</w:t>
      </w:r>
      <w:r w:rsidRPr="0001706F">
        <w:t xml:space="preserve">).Regarding the use of medication, the patient should be provided with adequate information regarding their medical condition and the risk of failing to adhere to the correct use of their medication. They also </w:t>
      </w:r>
      <w:r w:rsidR="00954BD3" w:rsidRPr="0001706F">
        <w:t xml:space="preserve">should </w:t>
      </w:r>
      <w:r w:rsidRPr="0001706F">
        <w:t xml:space="preserve">be educated on lifestyle changes to avoid increasing frequency of cases of anxiety and or stress that might significantly negatively affect their prognosis. </w:t>
      </w:r>
    </w:p>
    <w:p w:rsidR="001C4C18" w:rsidRPr="0001706F" w:rsidRDefault="00954BD3" w:rsidP="0001706F">
      <w:pPr>
        <w:spacing w:line="480" w:lineRule="auto"/>
        <w:ind w:firstLine="720"/>
      </w:pPr>
      <w:r w:rsidRPr="0001706F">
        <w:t xml:space="preserve">In response to the patient’s statement that he does not have time to “be sick” and needs to take care of everything during this visit, I would engage him in a make belief scenario of what would happen was he to neglect his health. I would outline to him the dangers of neglecting his health given his medical condition which might worsen leading to heart attack, heart failure, and overt death. I would try to reason with him that neglecting his health would mean failure on his part to competently take care of his family who are relying on him. This is true because, was his condition to progress rapidly to a worse prognosis, he would probably have to leave work permanently and this would mean the beginning of suffering for his family both financially and socially. I would advise him that his medical condition can be effectively managed if he allows a </w:t>
      </w:r>
      <w:r w:rsidRPr="0001706F">
        <w:lastRenderedPageBreak/>
        <w:t xml:space="preserve">day or two worth of examination which can them benefit him and mostly his family by his continued presence in their lives. </w:t>
      </w:r>
    </w:p>
    <w:p w:rsidR="0001706F" w:rsidRDefault="0001706F">
      <w:r>
        <w:br w:type="page"/>
      </w:r>
    </w:p>
    <w:p w:rsidR="00954BD3" w:rsidRPr="003C3242" w:rsidRDefault="00954BD3" w:rsidP="003C3242">
      <w:pPr>
        <w:spacing w:line="480" w:lineRule="auto"/>
        <w:jc w:val="center"/>
        <w:rPr>
          <w:b/>
        </w:rPr>
      </w:pPr>
      <w:r w:rsidRPr="003C3242">
        <w:rPr>
          <w:b/>
        </w:rPr>
        <w:lastRenderedPageBreak/>
        <w:t>References</w:t>
      </w:r>
    </w:p>
    <w:p w:rsidR="00954BD3" w:rsidRDefault="00954BD3" w:rsidP="0001706F">
      <w:pPr>
        <w:spacing w:line="480" w:lineRule="auto"/>
        <w:ind w:left="720" w:hanging="720"/>
      </w:pPr>
      <w:r w:rsidRPr="0001706F">
        <w:t xml:space="preserve">Brewer, C. L., </w:t>
      </w:r>
      <w:proofErr w:type="spellStart"/>
      <w:r w:rsidRPr="0001706F">
        <w:t>Svatikova</w:t>
      </w:r>
      <w:proofErr w:type="spellEnd"/>
      <w:r w:rsidRPr="0001706F">
        <w:t xml:space="preserve">, A., </w:t>
      </w:r>
      <w:proofErr w:type="spellStart"/>
      <w:r w:rsidRPr="0001706F">
        <w:t>Mulvagh</w:t>
      </w:r>
      <w:proofErr w:type="spellEnd"/>
      <w:r w:rsidRPr="0001706F">
        <w:t xml:space="preserve">, S. L. (2015). </w:t>
      </w:r>
      <w:proofErr w:type="gramStart"/>
      <w:r w:rsidRPr="0001706F">
        <w:t>The Challenges of Prevention, Diagnosis and Treatment of Ischemic Heart Disease in Women.</w:t>
      </w:r>
      <w:proofErr w:type="gramEnd"/>
      <w:r w:rsidRPr="0001706F">
        <w:t xml:space="preserve"> </w:t>
      </w:r>
      <w:proofErr w:type="spellStart"/>
      <w:r w:rsidRPr="0001706F">
        <w:rPr>
          <w:i/>
        </w:rPr>
        <w:t>Cardiovasc</w:t>
      </w:r>
      <w:proofErr w:type="spellEnd"/>
      <w:r w:rsidRPr="0001706F">
        <w:rPr>
          <w:i/>
        </w:rPr>
        <w:t xml:space="preserve"> Drugs </w:t>
      </w:r>
      <w:proofErr w:type="spellStart"/>
      <w:proofErr w:type="gramStart"/>
      <w:r w:rsidRPr="0001706F">
        <w:rPr>
          <w:i/>
        </w:rPr>
        <w:t>Ther</w:t>
      </w:r>
      <w:proofErr w:type="spellEnd"/>
      <w:r w:rsidRPr="0001706F">
        <w:t>.,</w:t>
      </w:r>
      <w:proofErr w:type="gramEnd"/>
      <w:r w:rsidRPr="0001706F">
        <w:t xml:space="preserve"> 29(4): 355-368</w:t>
      </w:r>
    </w:p>
    <w:p w:rsidR="0023465E" w:rsidRDefault="0023465E" w:rsidP="0023465E">
      <w:pPr>
        <w:spacing w:line="480" w:lineRule="auto"/>
        <w:ind w:left="720" w:hanging="720"/>
      </w:pPr>
      <w:r>
        <w:t xml:space="preserve">Glynn, M. &amp; Drake, M. W. (eds.) (2012) </w:t>
      </w:r>
      <w:r>
        <w:rPr>
          <w:i/>
        </w:rPr>
        <w:t>Hutchison’s Clinical Methods: An integrated approach to clinical practice</w:t>
      </w:r>
      <w:r>
        <w:t>. 23</w:t>
      </w:r>
      <w:r>
        <w:rPr>
          <w:vertAlign w:val="superscript"/>
        </w:rPr>
        <w:t>rd</w:t>
      </w:r>
      <w:r>
        <w:t xml:space="preserve"> Ed. Philadelphia: Saunders Elsevier</w:t>
      </w:r>
    </w:p>
    <w:p w:rsidR="0023465E" w:rsidRPr="0001706F" w:rsidRDefault="0023465E" w:rsidP="0023465E">
      <w:pPr>
        <w:spacing w:line="480" w:lineRule="auto"/>
      </w:pPr>
    </w:p>
    <w:sectPr w:rsidR="0023465E" w:rsidRPr="000170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31E" w:rsidRDefault="00DC231E" w:rsidP="0001706F">
      <w:pPr>
        <w:spacing w:after="0" w:line="240" w:lineRule="auto"/>
      </w:pPr>
      <w:r>
        <w:separator/>
      </w:r>
    </w:p>
  </w:endnote>
  <w:endnote w:type="continuationSeparator" w:id="0">
    <w:p w:rsidR="00DC231E" w:rsidRDefault="00DC231E" w:rsidP="00017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31E" w:rsidRDefault="00DC231E" w:rsidP="0001706F">
      <w:pPr>
        <w:spacing w:after="0" w:line="240" w:lineRule="auto"/>
      </w:pPr>
      <w:r>
        <w:separator/>
      </w:r>
    </w:p>
  </w:footnote>
  <w:footnote w:type="continuationSeparator" w:id="0">
    <w:p w:rsidR="00DC231E" w:rsidRDefault="00DC231E" w:rsidP="000170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5148433"/>
      <w:docPartObj>
        <w:docPartGallery w:val="Page Numbers (Top of Page)"/>
        <w:docPartUnique/>
      </w:docPartObj>
    </w:sdtPr>
    <w:sdtEndPr>
      <w:rPr>
        <w:noProof/>
      </w:rPr>
    </w:sdtEndPr>
    <w:sdtContent>
      <w:p w:rsidR="0001706F" w:rsidRDefault="0001706F">
        <w:pPr>
          <w:pStyle w:val="Header"/>
          <w:jc w:val="right"/>
        </w:pPr>
        <w:r>
          <w:fldChar w:fldCharType="begin"/>
        </w:r>
        <w:r>
          <w:instrText xml:space="preserve"> PAGE   \* MERGEFORMAT </w:instrText>
        </w:r>
        <w:r>
          <w:fldChar w:fldCharType="separate"/>
        </w:r>
        <w:r w:rsidR="003C3242">
          <w:rPr>
            <w:noProof/>
          </w:rPr>
          <w:t>5</w:t>
        </w:r>
        <w:r>
          <w:rPr>
            <w:noProof/>
          </w:rPr>
          <w:fldChar w:fldCharType="end"/>
        </w:r>
      </w:p>
    </w:sdtContent>
  </w:sdt>
  <w:p w:rsidR="0001706F" w:rsidRDefault="000170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3E"/>
    <w:rsid w:val="0001706F"/>
    <w:rsid w:val="001C4C18"/>
    <w:rsid w:val="0023465E"/>
    <w:rsid w:val="003C3242"/>
    <w:rsid w:val="00540B27"/>
    <w:rsid w:val="005A32E8"/>
    <w:rsid w:val="005A4B50"/>
    <w:rsid w:val="006E7960"/>
    <w:rsid w:val="008A62E0"/>
    <w:rsid w:val="00954BD3"/>
    <w:rsid w:val="00B608B6"/>
    <w:rsid w:val="00DC231E"/>
    <w:rsid w:val="00E6773E"/>
    <w:rsid w:val="00EE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06F"/>
  </w:style>
  <w:style w:type="paragraph" w:styleId="Footer">
    <w:name w:val="footer"/>
    <w:basedOn w:val="Normal"/>
    <w:link w:val="FooterChar"/>
    <w:uiPriority w:val="99"/>
    <w:unhideWhenUsed/>
    <w:rsid w:val="00017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0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06F"/>
  </w:style>
  <w:style w:type="paragraph" w:styleId="Footer">
    <w:name w:val="footer"/>
    <w:basedOn w:val="Normal"/>
    <w:link w:val="FooterChar"/>
    <w:uiPriority w:val="99"/>
    <w:unhideWhenUsed/>
    <w:rsid w:val="00017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9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2020-10-18T16:53:00Z</dcterms:created>
  <dcterms:modified xsi:type="dcterms:W3CDTF">2020-10-18T18:23:00Z</dcterms:modified>
</cp:coreProperties>
</file>